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49.0" w:type="dxa"/>
        <w:jc w:val="left"/>
        <w:tblInd w:w="-426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9"/>
        <w:gridCol w:w="5670"/>
        <w:tblGridChange w:id="0">
          <w:tblGrid>
            <w:gridCol w:w="4679"/>
            <w:gridCol w:w="5670"/>
          </w:tblGrid>
        </w:tblGridChange>
      </w:tblGrid>
      <w:tr>
        <w:trPr>
          <w:cantSplit w:val="0"/>
          <w:trHeight w:val="3963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от «__» _______ 2017 г.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 Арбитражный суд г. Москвы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115225 Москва, ул. Большая Тульская, д. 17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 Арбитражный суд Московской области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107053, Москва, пр. Академика Сахарова 18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Заявитель (Должник):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ФАМИЛИЯ ИМЯ ОТЧЕСТВО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Адрес: адрес регистрации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Паспорт: серия ________ номер ________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выдан: ________________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дата выдачи: _________, код подразделения ______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d9ead3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тел. 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ХОДАТАЙСТВО</w:t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 отсрочке внесения средств на выплату вознаграждения финансовому управляющему</w:t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ФАМИЛИЯ ИМЯ ОТЧЕСТВО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(далее – Должник) подано заявление о признании гражданина-должника банкротом. </w:t>
      </w:r>
    </w:p>
    <w:p w:rsidR="00000000" w:rsidDel="00000000" w:rsidP="00000000" w:rsidRDefault="00000000" w:rsidRPr="00000000" w14:paraId="0000001A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соответствии с абз. 2 п. 4 ст. 213.4 ФЗ «О несостоятельности (банкротстве)» денежные средства на выплату вознаграждения финансовому управляющему в размере, равном фиксированной сумме вознаграждения финансового управляющего за одну процедуру, применяемую в деле о банкротстве гражданина, вносятся в депозит арбитражного суда. </w:t>
      </w:r>
    </w:p>
    <w:p w:rsidR="00000000" w:rsidDel="00000000" w:rsidP="00000000" w:rsidRDefault="00000000" w:rsidRPr="00000000" w14:paraId="0000001B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Однако имущественное положение Должника не позволяет оплатить вознаграждение финансовому управляющему.</w:t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соответствии с абз. 3 п. 4 ст. 213.4 ФЗ «О несостоятельности (банкротстве)» </w:t>
        <w:br w:type="textWrapping"/>
        <w:t xml:space="preserve">по ходатайству гражданина арбитражный суд вправе предоставить гражданину отсрочку внесения средств на выплату вознаграждения финансовому управляющему сроком до даты судебного заседания по рассмотрению обоснованности заявления о признании гражданина банкротом.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 основании изложенного, руководствуясь абз. 3 п. 4 ст. 213.4 ФЗ </w:t>
        <w:br w:type="textWrapping"/>
        <w:t xml:space="preserve">«О несостоятельности (банкротстве)», 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ПРОШУ: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Предоставить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ФАМИЛИЯ ИМЯ ОТЧЕСТВО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отсрочку внесения средств на выплату вознаграждению финансовому управляющему в размере 25 000 (двадцати пяти  тысяч) рублей сроком до даты рассмотрения обоснованности заявления о признании гражданина банкротом.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38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19"/>
        <w:gridCol w:w="5919"/>
        <w:tblGridChange w:id="0">
          <w:tblGrid>
            <w:gridCol w:w="4219"/>
            <w:gridCol w:w="59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Должник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__________________/ФАМИЛИЯ ИМЯ ОТЧЕСТВО/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134" w:top="1134" w:left="1418" w:right="566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tabs>
        <w:tab w:val="center" w:leader="none" w:pos="4677"/>
        <w:tab w:val="right" w:leader="none" w:pos="9355"/>
      </w:tabs>
      <w:spacing w:after="0" w:line="240" w:lineRule="auto"/>
      <w:jc w:val="right"/>
      <w:rPr>
        <w:rFonts w:ascii="Roboto" w:cs="Roboto" w:eastAsia="Roboto" w:hAnsi="Roboto"/>
        <w:sz w:val="24"/>
        <w:szCs w:val="24"/>
        <w:highlight w:val="white"/>
      </w:rPr>
    </w:pPr>
    <w:hyperlink r:id="rId1">
      <w:r w:rsidDel="00000000" w:rsidR="00000000" w:rsidRPr="00000000">
        <w:rPr>
          <w:rFonts w:ascii="Roboto" w:cs="Roboto" w:eastAsia="Roboto" w:hAnsi="Roboto"/>
          <w:color w:val="00488f"/>
          <w:sz w:val="24"/>
          <w:szCs w:val="24"/>
          <w:highlight w:val="white"/>
          <w:u w:val="single"/>
          <w:rtl w:val="0"/>
        </w:rPr>
        <w:t xml:space="preserve">allbankrot.ru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tabs>
        <w:tab w:val="center" w:leader="none" w:pos="4677"/>
        <w:tab w:val="right" w:leader="none" w:pos="9355"/>
      </w:tabs>
      <w:spacing w:after="0" w:line="240" w:lineRule="auto"/>
      <w:jc w:val="right"/>
      <w:rPr>
        <w:rFonts w:ascii="Georgia" w:cs="Georgia" w:eastAsia="Georgia" w:hAnsi="Georgia"/>
        <w:sz w:val="18"/>
        <w:szCs w:val="18"/>
        <w:highlight w:val="white"/>
      </w:rPr>
    </w:pPr>
    <w:r w:rsidDel="00000000" w:rsidR="00000000" w:rsidRPr="00000000">
      <w:rPr>
        <w:rFonts w:ascii="Georgia" w:cs="Georgia" w:eastAsia="Georgia" w:hAnsi="Georgia"/>
        <w:sz w:val="18"/>
        <w:szCs w:val="18"/>
        <w:highlight w:val="white"/>
        <w:rtl w:val="0"/>
      </w:rPr>
      <w:t xml:space="preserve">Независимый всероссийский рейтинг</w:t>
    </w:r>
  </w:p>
  <w:p w:rsidR="00000000" w:rsidDel="00000000" w:rsidP="00000000" w:rsidRDefault="00000000" w:rsidRPr="00000000" w14:paraId="0000002C">
    <w:pPr>
      <w:tabs>
        <w:tab w:val="center" w:leader="none" w:pos="4677"/>
        <w:tab w:val="right" w:leader="none" w:pos="9355"/>
      </w:tabs>
      <w:spacing w:after="0" w:line="240" w:lineRule="auto"/>
      <w:jc w:val="right"/>
      <w:rPr>
        <w:rFonts w:ascii="Georgia" w:cs="Georgia" w:eastAsia="Georgia" w:hAnsi="Georgia"/>
        <w:sz w:val="18"/>
        <w:szCs w:val="18"/>
        <w:highlight w:val="white"/>
      </w:rPr>
    </w:pPr>
    <w:r w:rsidDel="00000000" w:rsidR="00000000" w:rsidRPr="00000000">
      <w:rPr>
        <w:rFonts w:ascii="Georgia" w:cs="Georgia" w:eastAsia="Georgia" w:hAnsi="Georgia"/>
        <w:sz w:val="18"/>
        <w:szCs w:val="18"/>
        <w:highlight w:val="white"/>
        <w:rtl w:val="0"/>
      </w:rPr>
      <w:t xml:space="preserve">юридических компаний по банкротству</w:t>
    </w:r>
  </w:p>
  <w:p w:rsidR="00000000" w:rsidDel="00000000" w:rsidP="00000000" w:rsidRDefault="00000000" w:rsidRPr="00000000" w14:paraId="0000002D">
    <w:pPr>
      <w:tabs>
        <w:tab w:val="center" w:leader="none" w:pos="4677"/>
        <w:tab w:val="right" w:leader="none" w:pos="9355"/>
      </w:tabs>
      <w:spacing w:after="0" w:line="240" w:lineRule="auto"/>
      <w:jc w:val="right"/>
      <w:rPr>
        <w:rFonts w:ascii="Georgia" w:cs="Georgia" w:eastAsia="Georgia" w:hAnsi="Georgia"/>
        <w:sz w:val="18"/>
        <w:szCs w:val="18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tabs>
        <w:tab w:val="center" w:leader="none" w:pos="4677"/>
        <w:tab w:val="right" w:leader="none" w:pos="9355"/>
      </w:tabs>
      <w:spacing w:after="0" w:line="240" w:lineRule="auto"/>
      <w:jc w:val="right"/>
      <w:rPr>
        <w:rFonts w:ascii="Georgia" w:cs="Georgia" w:eastAsia="Georgia" w:hAnsi="Georgia"/>
        <w:sz w:val="18"/>
        <w:szCs w:val="18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hyperlink" Target="https://allbankro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